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FD3A8" w14:textId="22B0FBFD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223683">
        <w:rPr>
          <w:b w:val="0"/>
          <w:bCs/>
          <w:u w:val="none"/>
          <w:lang w:eastAsia="en-US"/>
        </w:rPr>
        <w:t>Příloha č. 3 Výzvy</w:t>
      </w:r>
      <w:r w:rsidRPr="003466C9">
        <w:rPr>
          <w:b w:val="0"/>
          <w:bCs/>
          <w:u w:val="none"/>
          <w:lang w:eastAsia="en-US"/>
        </w:rPr>
        <w:t xml:space="preserve"> k podání nabídky</w:t>
      </w:r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0EAB0262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</w:p>
    <w:p w14:paraId="6DF16FA9" w14:textId="7C374596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  <w:r w:rsidR="004C7231">
        <w:rPr>
          <w:rFonts w:eastAsia="Times New Roman" w:cs="Times New Roman"/>
          <w:b/>
          <w:highlight w:val="green"/>
          <w:lang w:eastAsia="cs-CZ"/>
        </w:rPr>
        <w:t>, č.j. …………</w:t>
      </w:r>
      <w:proofErr w:type="gramStart"/>
      <w:r w:rsidR="004C7231">
        <w:rPr>
          <w:rFonts w:eastAsia="Times New Roman" w:cs="Times New Roman"/>
          <w:b/>
          <w:highlight w:val="green"/>
          <w:lang w:eastAsia="cs-CZ"/>
        </w:rPr>
        <w:t>…….</w:t>
      </w:r>
      <w:proofErr w:type="gramEnd"/>
      <w:r w:rsidR="004C7231">
        <w:rPr>
          <w:rFonts w:eastAsia="Times New Roman" w:cs="Times New Roman"/>
          <w:b/>
          <w:highlight w:val="green"/>
          <w:lang w:eastAsia="cs-CZ"/>
        </w:rPr>
        <w:t>.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5A2F95AF" w:rsidR="00D85C5B" w:rsidRDefault="003466C9" w:rsidP="00AF21E8">
      <w:pPr>
        <w:overflowPunct w:val="0"/>
        <w:autoSpaceDE w:val="0"/>
        <w:autoSpaceDN w:val="0"/>
        <w:adjustRightInd w:val="0"/>
        <w:spacing w:after="0" w:line="240" w:lineRule="auto"/>
        <w:ind w:left="1413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AF21E8" w:rsidRPr="00AF21E8">
        <w:rPr>
          <w:rFonts w:eastAsia="Times New Roman" w:cs="Times New Roman"/>
          <w:lang w:eastAsia="cs-CZ"/>
        </w:rPr>
        <w:t xml:space="preserve">Ing. Martinem Kašparem, ředitelem organizační jednotky Oblastního ředitelství Ústí nad Labem, na základě pověření č. 2652 ze dne </w:t>
      </w:r>
      <w:r w:rsidR="00B01FB9">
        <w:rPr>
          <w:rFonts w:eastAsia="Times New Roman" w:cs="Times New Roman"/>
          <w:lang w:eastAsia="cs-CZ"/>
        </w:rPr>
        <w:t xml:space="preserve">   </w:t>
      </w:r>
      <w:r w:rsidR="00AF21E8" w:rsidRPr="00AF21E8">
        <w:rPr>
          <w:rFonts w:eastAsia="Times New Roman" w:cs="Times New Roman"/>
          <w:lang w:eastAsia="cs-CZ"/>
        </w:rPr>
        <w:t>22. 02. 2019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77777777" w:rsidR="003466C9" w:rsidRDefault="000E7AA2" w:rsidP="003466C9">
      <w:pPr>
        <w:pStyle w:val="Textbezodsazen"/>
        <w:spacing w:line="360" w:lineRule="auto"/>
        <w:ind w:left="708" w:firstLine="708"/>
      </w:pPr>
      <w:hyperlink r:id="rId11" w:history="1">
        <w:r w:rsidR="003466C9" w:rsidRPr="00073D98">
          <w:rPr>
            <w:rStyle w:val="Hypertextovodkaz"/>
          </w:rPr>
          <w:t>ePodatelnaORUNL@spravazelenic.cz</w:t>
        </w:r>
      </w:hyperlink>
      <w:r w:rsidR="003466C9"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0E7AA2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="003466C9" w:rsidRPr="00432661">
          <w:rPr>
            <w:rStyle w:val="Hypertextovodkaz"/>
            <w:rFonts w:cs="Arial"/>
          </w:rPr>
          <w:t>ePodatelnaCFU@spravazeleznic</w:t>
        </w:r>
        <w:r w:rsidR="003466C9"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48FADA72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A9B339C" w14:textId="77777777" w:rsidR="003466C9" w:rsidRPr="000C5DA0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2C77DD50" w:rsidR="00D85C5B" w:rsidRPr="000C5DA0" w:rsidRDefault="003466C9" w:rsidP="002B378D">
      <w:pPr>
        <w:rPr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zakázky s názvem „</w:t>
      </w:r>
      <w:r w:rsidR="00B01FB9" w:rsidRPr="00B01FB9">
        <w:rPr>
          <w:rFonts w:eastAsia="Times New Roman" w:cs="Times New Roman"/>
          <w:b/>
          <w:bCs/>
          <w:lang w:eastAsia="cs-CZ"/>
        </w:rPr>
        <w:t>Dodávka motorgenerátoru s podvozkem pro SEE</w:t>
      </w:r>
      <w:r w:rsidRPr="004E1498">
        <w:rPr>
          <w:rFonts w:eastAsia="Times New Roman" w:cs="Times New Roman"/>
          <w:lang w:eastAsia="cs-CZ"/>
        </w:rPr>
        <w:t xml:space="preserve">“, </w:t>
      </w:r>
      <w:r w:rsidRPr="00B14DCA">
        <w:rPr>
          <w:rFonts w:eastAsia="Times New Roman" w:cs="Times New Roman"/>
          <w:lang w:eastAsia="cs-CZ"/>
        </w:rPr>
        <w:t>ev. č. veřejné zakázky</w:t>
      </w:r>
      <w:r w:rsidRPr="008A111A">
        <w:rPr>
          <w:rFonts w:eastAsia="Times New Roman" w:cs="Times New Roman"/>
          <w:lang w:eastAsia="cs-CZ"/>
        </w:rPr>
        <w:t xml:space="preserve">: </w:t>
      </w:r>
      <w:bookmarkStart w:id="0" w:name="_Hlk128656993"/>
      <w:r w:rsidRPr="008A111A">
        <w:rPr>
          <w:rFonts w:eastAsia="Times New Roman" w:cs="Times New Roman"/>
          <w:b/>
          <w:bCs/>
          <w:lang w:eastAsia="cs-CZ"/>
        </w:rPr>
        <w:t>6502</w:t>
      </w:r>
      <w:r w:rsidR="004C7231" w:rsidRPr="008A111A">
        <w:rPr>
          <w:rFonts w:eastAsia="Times New Roman" w:cs="Times New Roman"/>
          <w:b/>
          <w:bCs/>
          <w:lang w:eastAsia="cs-CZ"/>
        </w:rPr>
        <w:t>3</w:t>
      </w:r>
      <w:bookmarkEnd w:id="0"/>
      <w:r w:rsidR="008A111A" w:rsidRPr="008A111A">
        <w:rPr>
          <w:rFonts w:eastAsia="Times New Roman" w:cs="Times New Roman"/>
          <w:b/>
          <w:bCs/>
          <w:lang w:eastAsia="cs-CZ"/>
        </w:rPr>
        <w:t>034</w:t>
      </w:r>
      <w:r w:rsidR="008A111A">
        <w:rPr>
          <w:rFonts w:eastAsia="Times New Roman" w:cs="Times New Roman"/>
          <w:lang w:eastAsia="cs-CZ"/>
        </w:rPr>
        <w:t xml:space="preserve">, </w:t>
      </w:r>
      <w:r w:rsidR="008A111A" w:rsidRPr="008A111A">
        <w:rPr>
          <w:rFonts w:eastAsia="Times New Roman" w:cs="Times New Roman"/>
          <w:lang w:eastAsia="cs-CZ"/>
        </w:rPr>
        <w:t xml:space="preserve">č.j. veřejné zakázky </w:t>
      </w:r>
      <w:r w:rsidR="00576F32" w:rsidRPr="00576F32">
        <w:rPr>
          <w:rFonts w:eastAsia="Times New Roman" w:cs="Times New Roman"/>
          <w:lang w:eastAsia="cs-CZ"/>
        </w:rPr>
        <w:t xml:space="preserve">14596/2023-SŽ-OŘ UNL-OVZ </w:t>
      </w:r>
      <w:r w:rsidRPr="008A111A">
        <w:rPr>
          <w:rFonts w:eastAsia="Times New Roman" w:cs="Times New Roman"/>
          <w:lang w:eastAsia="cs-CZ"/>
        </w:rPr>
        <w:t>(</w:t>
      </w:r>
      <w:r w:rsidRPr="004E1498">
        <w:rPr>
          <w:rFonts w:eastAsia="Times New Roman" w:cs="Times New Roman"/>
          <w:lang w:eastAsia="cs-CZ"/>
        </w:rPr>
        <w:t>dále jen „</w:t>
      </w:r>
      <w:r w:rsidRPr="0055288E">
        <w:rPr>
          <w:rFonts w:eastAsia="Times New Roman" w:cs="Times New Roman"/>
          <w:b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B01FB9" w:rsidRDefault="00D85C5B" w:rsidP="007F5EC4">
      <w:pPr>
        <w:pStyle w:val="Nadpis1"/>
      </w:pPr>
      <w:r w:rsidRPr="00B01FB9">
        <w:t>Předmět koupě (přesná specifikace)</w:t>
      </w:r>
    </w:p>
    <w:p w14:paraId="1CC662D5" w14:textId="67BE761F" w:rsidR="00D85C5B" w:rsidRPr="00B01FB9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01FB9">
        <w:rPr>
          <w:rFonts w:eastAsia="Times New Roman" w:cs="Times New Roman"/>
          <w:lang w:eastAsia="cs-CZ"/>
        </w:rPr>
        <w:t>Předmětem koupě je</w:t>
      </w:r>
      <w:r w:rsidR="00B01FB9" w:rsidRPr="00B01FB9">
        <w:rPr>
          <w:rFonts w:eastAsia="Times New Roman" w:cs="Times New Roman"/>
          <w:lang w:eastAsia="cs-CZ"/>
        </w:rPr>
        <w:t xml:space="preserve"> motorgenerátor s podvozkem</w:t>
      </w:r>
      <w:r w:rsidRPr="00B01FB9">
        <w:rPr>
          <w:rFonts w:eastAsia="Times New Roman" w:cs="Times New Roman"/>
          <w:lang w:eastAsia="cs-CZ"/>
        </w:rPr>
        <w:t>.</w:t>
      </w:r>
    </w:p>
    <w:p w14:paraId="01CA54BB" w14:textId="2337EAA7" w:rsidR="00D85C5B" w:rsidRPr="00B01FB9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01FB9">
        <w:rPr>
          <w:rFonts w:eastAsia="Times New Roman" w:cs="Times New Roman"/>
          <w:lang w:eastAsia="cs-CZ"/>
        </w:rPr>
        <w:t>Přesná specifikace je uvedena v příloze č.</w:t>
      </w:r>
      <w:r w:rsidR="00255F3B" w:rsidRPr="00B01FB9">
        <w:rPr>
          <w:rFonts w:eastAsia="Times New Roman" w:cs="Times New Roman"/>
          <w:lang w:eastAsia="cs-CZ"/>
        </w:rPr>
        <w:t xml:space="preserve"> 2 </w:t>
      </w:r>
      <w:r w:rsidRPr="00B01FB9">
        <w:rPr>
          <w:rFonts w:eastAsia="Times New Roman" w:cs="Times New Roman"/>
          <w:lang w:eastAsia="cs-CZ"/>
        </w:rPr>
        <w:t xml:space="preserve">této </w:t>
      </w:r>
      <w:r w:rsidR="008B1447" w:rsidRPr="00B01FB9">
        <w:rPr>
          <w:rFonts w:eastAsia="Times New Roman" w:cs="Times New Roman"/>
          <w:lang w:eastAsia="cs-CZ"/>
        </w:rPr>
        <w:t>Sml</w:t>
      </w:r>
      <w:r w:rsidRPr="00B01FB9">
        <w:rPr>
          <w:rFonts w:eastAsia="Times New Roman" w:cs="Times New Roman"/>
          <w:lang w:eastAsia="cs-CZ"/>
        </w:rPr>
        <w:t>ouvy.</w:t>
      </w:r>
    </w:p>
    <w:p w14:paraId="4A214B1F" w14:textId="7D6BD950" w:rsidR="00D85C5B" w:rsidRPr="00B01FB9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01FB9">
        <w:rPr>
          <w:rFonts w:eastAsia="Times New Roman" w:cs="Times New Roman"/>
          <w:lang w:eastAsia="cs-CZ"/>
        </w:rPr>
        <w:lastRenderedPageBreak/>
        <w:t>Předmět koupě musí splňovat podmínky stanovené právními předpisy</w:t>
      </w:r>
      <w:r w:rsidR="00B01FB9" w:rsidRPr="00B01FB9">
        <w:rPr>
          <w:rFonts w:eastAsia="Times New Roman" w:cs="Times New Roman"/>
          <w:lang w:eastAsia="cs-CZ"/>
        </w:rPr>
        <w:t>, Směrnicemi SŽ a</w:t>
      </w:r>
      <w:r w:rsidRPr="00B01FB9">
        <w:rPr>
          <w:rFonts w:eastAsia="Times New Roman" w:cs="Times New Roman"/>
          <w:lang w:eastAsia="cs-CZ"/>
        </w:rPr>
        <w:t xml:space="preserve"> technickými normami, uvedenými v příloze č</w:t>
      </w:r>
      <w:r w:rsidR="00255F3B" w:rsidRPr="00B01FB9">
        <w:rPr>
          <w:rFonts w:eastAsia="Times New Roman" w:cs="Times New Roman"/>
          <w:lang w:eastAsia="cs-CZ"/>
        </w:rPr>
        <w:t xml:space="preserve">. 2 </w:t>
      </w:r>
      <w:r w:rsidRPr="00B01FB9">
        <w:rPr>
          <w:rFonts w:eastAsia="Times New Roman" w:cs="Times New Roman"/>
          <w:lang w:eastAsia="cs-CZ"/>
        </w:rPr>
        <w:t xml:space="preserve">této </w:t>
      </w:r>
      <w:r w:rsidR="008B1447" w:rsidRPr="00B01FB9">
        <w:rPr>
          <w:rFonts w:eastAsia="Times New Roman" w:cs="Times New Roman"/>
          <w:lang w:eastAsia="cs-CZ"/>
        </w:rPr>
        <w:t>Sml</w:t>
      </w:r>
      <w:r w:rsidRPr="00B01FB9">
        <w:rPr>
          <w:rFonts w:eastAsia="Times New Roman" w:cs="Times New Roman"/>
          <w:lang w:eastAsia="cs-CZ"/>
        </w:rPr>
        <w:t>ouvy.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B01FB9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01FB9">
        <w:rPr>
          <w:rFonts w:eastAsia="Times New Roman" w:cs="Times New Roman"/>
          <w:lang w:eastAsia="cs-CZ"/>
        </w:rPr>
        <w:t xml:space="preserve">Cena včetně DPH </w:t>
      </w:r>
      <w:r w:rsidRPr="00B01FB9">
        <w:rPr>
          <w:rFonts w:eastAsia="Times New Roman" w:cs="Times New Roman"/>
          <w:lang w:eastAsia="cs-CZ"/>
        </w:rPr>
        <w:tab/>
        <w:t>………………. Kč.</w:t>
      </w:r>
    </w:p>
    <w:p w14:paraId="01FA3DA7" w14:textId="673590B4" w:rsidR="00C24C30" w:rsidRPr="00B01FB9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B01FB9">
        <w:rPr>
          <w:rFonts w:eastAsia="Times New Roman" w:cs="Times New Roman"/>
          <w:lang w:eastAsia="cs-CZ"/>
        </w:rPr>
        <w:t xml:space="preserve">Přílohou č. </w:t>
      </w:r>
      <w:r w:rsidR="00255F3B" w:rsidRPr="00B01FB9">
        <w:rPr>
          <w:rFonts w:eastAsia="Times New Roman" w:cs="Times New Roman"/>
          <w:lang w:eastAsia="cs-CZ"/>
        </w:rPr>
        <w:t>3</w:t>
      </w:r>
      <w:r w:rsidRPr="00B01FB9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33A21372" w:rsidR="00255F3B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01FB9">
        <w:rPr>
          <w:rFonts w:eastAsia="Times New Roman" w:cs="Times New Roman"/>
          <w:lang w:eastAsia="cs-CZ"/>
        </w:rPr>
        <w:t xml:space="preserve">Kupní cena bude uhrazena na základě </w:t>
      </w:r>
      <w:r w:rsidR="00B01FB9" w:rsidRPr="00B01FB9">
        <w:rPr>
          <w:rFonts w:eastAsia="Times New Roman" w:cs="Times New Roman"/>
          <w:lang w:eastAsia="cs-CZ"/>
        </w:rPr>
        <w:t xml:space="preserve">dodacího listu </w:t>
      </w:r>
      <w:r w:rsidRPr="00B01FB9">
        <w:rPr>
          <w:rFonts w:eastAsia="Times New Roman" w:cs="Times New Roman"/>
          <w:lang w:eastAsia="cs-CZ"/>
        </w:rPr>
        <w:t xml:space="preserve">podepsaného oběma </w:t>
      </w:r>
      <w:r w:rsidR="008B1447" w:rsidRPr="00B01FB9">
        <w:rPr>
          <w:rFonts w:eastAsia="Times New Roman" w:cs="Times New Roman"/>
          <w:lang w:eastAsia="cs-CZ"/>
        </w:rPr>
        <w:t>Sml</w:t>
      </w:r>
      <w:r w:rsidRPr="00B01FB9">
        <w:rPr>
          <w:rFonts w:eastAsia="Times New Roman" w:cs="Times New Roman"/>
          <w:lang w:eastAsia="cs-CZ"/>
        </w:rPr>
        <w:t>uvními stranami</w:t>
      </w:r>
      <w:r w:rsidR="002B20CA" w:rsidRPr="00B01FB9">
        <w:rPr>
          <w:rFonts w:eastAsia="Times New Roman" w:cs="Times New Roman"/>
          <w:lang w:eastAsia="cs-CZ"/>
        </w:rPr>
        <w:t>.</w:t>
      </w:r>
    </w:p>
    <w:p w14:paraId="6BD0CE02" w14:textId="3936CCEA" w:rsidR="0086189B" w:rsidRPr="0086189B" w:rsidRDefault="0086189B" w:rsidP="0086189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D62C2">
        <w:rPr>
          <w:rFonts w:eastAsia="Times New Roman" w:cs="Times New Roman"/>
          <w:b/>
          <w:lang w:eastAsia="cs-CZ"/>
        </w:rPr>
        <w:t>Kupní cenu a případnou DPH je Kupující povinen uhradit Prodávajícímu do 60 dnů ode dne převzetí Předmětu koupě</w:t>
      </w:r>
      <w:r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01FB9">
        <w:rPr>
          <w:rFonts w:eastAsia="Times New Roman" w:cs="Times New Roman"/>
          <w:lang w:eastAsia="cs-CZ"/>
        </w:rPr>
        <w:t>DPH bude</w:t>
      </w:r>
      <w:r w:rsidRPr="00255F3B">
        <w:rPr>
          <w:rFonts w:eastAsia="Times New Roman" w:cs="Times New Roman"/>
          <w:lang w:eastAsia="cs-CZ"/>
        </w:rPr>
        <w:t xml:space="preserve"> uplatněno v souladu s ustanovením zákona č. 235/2004 Sb. o dani z přidané hodnoty, ve znění pozdějších předpisů a jeho novele č. 47/2011 Sb., tj. podřízenosti k § </w:t>
      </w:r>
      <w:proofErr w:type="gramStart"/>
      <w:r w:rsidRPr="00255F3B">
        <w:rPr>
          <w:rFonts w:eastAsia="Times New Roman" w:cs="Times New Roman"/>
          <w:lang w:eastAsia="cs-CZ"/>
        </w:rPr>
        <w:t>92a</w:t>
      </w:r>
      <w:proofErr w:type="gramEnd"/>
      <w:r w:rsidRPr="00255F3B">
        <w:rPr>
          <w:rFonts w:eastAsia="Times New Roman" w:cs="Times New Roman"/>
          <w:lang w:eastAsia="cs-CZ"/>
        </w:rPr>
        <w:t xml:space="preserve">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0BC7966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</w:t>
      </w:r>
      <w:proofErr w:type="spellStart"/>
      <w:r w:rsidRPr="00255F3B">
        <w:rPr>
          <w:rFonts w:eastAsia="Times New Roman" w:cs="Times New Roman"/>
          <w:lang w:eastAsia="cs-CZ"/>
        </w:rPr>
        <w:t>skenu</w:t>
      </w:r>
      <w:proofErr w:type="spellEnd"/>
      <w:r w:rsidRPr="00255F3B">
        <w:rPr>
          <w:rFonts w:eastAsia="Times New Roman" w:cs="Times New Roman"/>
          <w:lang w:eastAsia="cs-CZ"/>
        </w:rPr>
        <w:t xml:space="preserve">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60F45F27" w:rsidR="004F403A" w:rsidRPr="00255F3B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přílohu </w:t>
      </w:r>
      <w:r w:rsidRPr="0078450A">
        <w:rPr>
          <w:rFonts w:eastAsia="Times New Roman" w:cs="Times New Roman"/>
          <w:lang w:eastAsia="cs-CZ"/>
        </w:rPr>
        <w:t xml:space="preserve">č. </w:t>
      </w:r>
      <w:r w:rsidR="0078450A" w:rsidRPr="00F0762B">
        <w:rPr>
          <w:rFonts w:eastAsia="Times New Roman" w:cs="Times New Roman"/>
          <w:lang w:eastAsia="cs-CZ"/>
        </w:rPr>
        <w:t>4</w:t>
      </w:r>
      <w:r w:rsidRPr="0078450A">
        <w:rPr>
          <w:rFonts w:eastAsia="Times New Roman" w:cs="Times New Roman"/>
          <w:lang w:eastAsia="cs-CZ"/>
        </w:rPr>
        <w:t xml:space="preserve"> Smlouvy</w:t>
      </w:r>
      <w:r w:rsidRPr="004F403A">
        <w:rPr>
          <w:rFonts w:eastAsia="Times New Roman" w:cs="Times New Roman"/>
          <w:lang w:eastAsia="cs-CZ"/>
        </w:rPr>
        <w:t xml:space="preserve">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25251D61" w:rsidR="00D85C5B" w:rsidRPr="00F0762B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0762B">
        <w:rPr>
          <w:rFonts w:eastAsia="Times New Roman" w:cs="Times New Roman"/>
          <w:lang w:eastAsia="cs-CZ"/>
        </w:rPr>
        <w:t xml:space="preserve">Místo dodání je </w:t>
      </w:r>
      <w:r w:rsidR="00F0762B" w:rsidRPr="00F0762B">
        <w:rPr>
          <w:rFonts w:eastAsia="Times New Roman" w:cs="Times New Roman"/>
          <w:lang w:eastAsia="cs-CZ"/>
        </w:rPr>
        <w:t>Správa železnic, státní organizace, Oblastní ředitelství Ústí nad Labem, Železničářská 1386/31, 400 03 Ústí nad Labem</w:t>
      </w:r>
      <w:r w:rsidRPr="00F0762B">
        <w:rPr>
          <w:rFonts w:eastAsia="Times New Roman" w:cs="Times New Roman"/>
          <w:lang w:eastAsia="cs-CZ"/>
        </w:rPr>
        <w:t>.</w:t>
      </w:r>
    </w:p>
    <w:p w14:paraId="5115D35D" w14:textId="75C98261" w:rsidR="00D85C5B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0762B">
        <w:rPr>
          <w:rFonts w:eastAsia="Times New Roman" w:cs="Times New Roman"/>
          <w:lang w:eastAsia="cs-CZ"/>
        </w:rPr>
        <w:t xml:space="preserve">Předmět koupě bude dodán </w:t>
      </w:r>
      <w:r w:rsidRPr="00F0762B">
        <w:rPr>
          <w:rFonts w:eastAsia="Times New Roman" w:cs="Times New Roman"/>
          <w:b/>
          <w:lang w:eastAsia="cs-CZ"/>
        </w:rPr>
        <w:t xml:space="preserve">do </w:t>
      </w:r>
      <w:r w:rsidR="00F0762B" w:rsidRPr="00F0762B">
        <w:rPr>
          <w:rFonts w:eastAsia="Times New Roman" w:cs="Times New Roman"/>
          <w:b/>
          <w:lang w:eastAsia="cs-CZ"/>
        </w:rPr>
        <w:t>30. 11. 2023</w:t>
      </w:r>
      <w:r w:rsidRPr="00F0762B">
        <w:rPr>
          <w:rFonts w:eastAsia="Times New Roman" w:cs="Times New Roman"/>
          <w:lang w:eastAsia="cs-CZ"/>
        </w:rPr>
        <w:t>.</w:t>
      </w:r>
    </w:p>
    <w:p w14:paraId="4E9BCB88" w14:textId="5538C886" w:rsidR="00F0762B" w:rsidRPr="00F0762B" w:rsidRDefault="00F0762B" w:rsidP="00F0762B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56FAA">
        <w:rPr>
          <w:rFonts w:eastAsia="Times New Roman" w:cs="Times New Roman"/>
          <w:lang w:eastAsia="cs-CZ"/>
        </w:rPr>
        <w:t xml:space="preserve">Provedení dvou profylaktických prohlídek včetně výměny oleje, filtrů a běžné prohlídky </w:t>
      </w:r>
      <w:r w:rsidRPr="009E2E57">
        <w:rPr>
          <w:rFonts w:eastAsia="Times New Roman" w:cs="Times New Roman"/>
          <w:b/>
          <w:lang w:eastAsia="cs-CZ"/>
        </w:rPr>
        <w:t>(vždy po roce) v záruční době</w:t>
      </w:r>
      <w:r w:rsidRPr="00356FAA">
        <w:rPr>
          <w:rFonts w:eastAsia="Times New Roman" w:cs="Times New Roman"/>
          <w:lang w:eastAsia="cs-CZ"/>
        </w:rPr>
        <w:t xml:space="preserve"> (minimálně 24 měsíců) </w:t>
      </w:r>
      <w:r w:rsidRPr="009E2E57">
        <w:rPr>
          <w:rFonts w:eastAsia="Times New Roman" w:cs="Times New Roman"/>
          <w:b/>
          <w:lang w:eastAsia="cs-CZ"/>
        </w:rPr>
        <w:t>od dodání předmětu plnění</w:t>
      </w:r>
      <w:r w:rsidRPr="00356FAA">
        <w:rPr>
          <w:rFonts w:eastAsia="Times New Roman" w:cs="Times New Roman"/>
          <w:lang w:eastAsia="cs-CZ"/>
        </w:rPr>
        <w:t>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F0762B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0762B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F0762B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0762B">
        <w:rPr>
          <w:rFonts w:eastAsia="Times New Roman" w:cs="Times New Roman"/>
          <w:lang w:eastAsia="cs-CZ"/>
        </w:rPr>
        <w:t>Speciální balení se nevyžaduje.</w:t>
      </w:r>
    </w:p>
    <w:p w14:paraId="28FDFECD" w14:textId="1F3004D6" w:rsidR="00D85C5B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F0762B">
        <w:rPr>
          <w:rFonts w:eastAsia="Times New Roman" w:cs="Times New Roman"/>
          <w:highlight w:val="green"/>
          <w:lang w:eastAsia="cs-CZ"/>
        </w:rPr>
        <w:t xml:space="preserve">Vratný obalový materiál </w:t>
      </w:r>
      <w:r w:rsidRPr="00F0762B">
        <w:rPr>
          <w:rFonts w:eastAsia="Times New Roman" w:cs="Times New Roman"/>
          <w:b/>
          <w:highlight w:val="green"/>
          <w:lang w:eastAsia="cs-CZ"/>
        </w:rPr>
        <w:t>tvoří</w:t>
      </w:r>
      <w:r w:rsidR="00F0762B" w:rsidRPr="00F0762B">
        <w:rPr>
          <w:rFonts w:eastAsia="Times New Roman" w:cs="Times New Roman"/>
          <w:b/>
          <w:highlight w:val="green"/>
          <w:lang w:eastAsia="cs-CZ"/>
        </w:rPr>
        <w:t>/netvoří</w:t>
      </w:r>
      <w:r w:rsidRPr="00F0762B">
        <w:rPr>
          <w:rFonts w:eastAsia="Times New Roman" w:cs="Times New Roman"/>
          <w:highlight w:val="green"/>
          <w:lang w:eastAsia="cs-CZ"/>
        </w:rPr>
        <w:t xml:space="preserve"> </w:t>
      </w:r>
      <w:r w:rsidR="004F6F27" w:rsidRPr="004F6F27">
        <w:rPr>
          <w:rFonts w:eastAsia="Times New Roman" w:cs="Times New Roman"/>
          <w:i/>
          <w:highlight w:val="green"/>
          <w:lang w:eastAsia="cs-CZ"/>
        </w:rPr>
        <w:t xml:space="preserve">(vypsat </w:t>
      </w:r>
      <w:proofErr w:type="gramStart"/>
      <w:r w:rsidR="004F6F27" w:rsidRPr="004F6F27">
        <w:rPr>
          <w:rFonts w:eastAsia="Times New Roman" w:cs="Times New Roman"/>
          <w:i/>
          <w:highlight w:val="green"/>
          <w:lang w:eastAsia="cs-CZ"/>
        </w:rPr>
        <w:t>jaký)</w:t>
      </w:r>
      <w:r w:rsidRPr="004F6F27">
        <w:rPr>
          <w:rFonts w:eastAsia="Times New Roman" w:cs="Times New Roman"/>
          <w:i/>
          <w:highlight w:val="green"/>
          <w:lang w:eastAsia="cs-CZ"/>
        </w:rPr>
        <w:t>…</w:t>
      </w:r>
      <w:proofErr w:type="gramEnd"/>
      <w:r w:rsidRPr="004F6F27">
        <w:rPr>
          <w:rFonts w:eastAsia="Times New Roman" w:cs="Times New Roman"/>
          <w:i/>
          <w:highlight w:val="green"/>
          <w:lang w:eastAsia="cs-CZ"/>
        </w:rPr>
        <w:t>…………….</w:t>
      </w:r>
      <w:r w:rsidRPr="00F0762B">
        <w:rPr>
          <w:rFonts w:eastAsia="Times New Roman" w:cs="Times New Roman"/>
          <w:highlight w:val="green"/>
          <w:lang w:eastAsia="cs-CZ"/>
        </w:rPr>
        <w:t xml:space="preserve"> .</w:t>
      </w:r>
    </w:p>
    <w:p w14:paraId="10363BD8" w14:textId="77777777" w:rsidR="00413C9A" w:rsidRPr="00F0762B" w:rsidRDefault="00413C9A" w:rsidP="00413C9A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Listiny (doklady)</w:t>
      </w:r>
    </w:p>
    <w:p w14:paraId="249D087E" w14:textId="77777777" w:rsidR="00D85C5B" w:rsidRPr="00F0762B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0762B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7E17AF11" w:rsidR="00D85C5B" w:rsidRPr="00F0762B" w:rsidRDefault="00F0762B" w:rsidP="00F0762B">
      <w:pPr>
        <w:overflowPunct w:val="0"/>
        <w:autoSpaceDE w:val="0"/>
        <w:autoSpaceDN w:val="0"/>
        <w:adjustRightInd w:val="0"/>
        <w:spacing w:after="0" w:line="240" w:lineRule="auto"/>
        <w:ind w:left="709" w:hanging="1"/>
        <w:textAlignment w:val="baseline"/>
        <w:rPr>
          <w:rFonts w:eastAsia="Times New Roman" w:cs="Times New Roman"/>
          <w:lang w:eastAsia="cs-CZ"/>
        </w:rPr>
      </w:pPr>
      <w:r w:rsidRPr="00F0762B">
        <w:rPr>
          <w:rFonts w:eastAsia="Times New Roman" w:cs="Times New Roman"/>
          <w:lang w:eastAsia="cs-CZ"/>
        </w:rPr>
        <w:t>Protokol o shodě /CE/</w:t>
      </w:r>
      <w:r w:rsidR="00D85C5B" w:rsidRPr="00F0762B">
        <w:rPr>
          <w:rFonts w:eastAsia="Times New Roman" w:cs="Times New Roman"/>
          <w:lang w:eastAsia="cs-CZ"/>
        </w:rPr>
        <w:t xml:space="preserve">, </w:t>
      </w:r>
      <w:r w:rsidRPr="00F0762B">
        <w:rPr>
          <w:rFonts w:eastAsia="Times New Roman" w:cs="Times New Roman"/>
          <w:lang w:eastAsia="cs-CZ"/>
        </w:rPr>
        <w:t>Typový list (katalogový list) či obdobný dokument s</w:t>
      </w:r>
      <w:r>
        <w:rPr>
          <w:rFonts w:eastAsia="Times New Roman" w:cs="Times New Roman"/>
          <w:lang w:eastAsia="cs-CZ"/>
        </w:rPr>
        <w:t> </w:t>
      </w:r>
      <w:r w:rsidR="0078450A" w:rsidRPr="00F0762B">
        <w:rPr>
          <w:rFonts w:eastAsia="Times New Roman" w:cs="Times New Roman"/>
          <w:lang w:eastAsia="cs-CZ"/>
        </w:rPr>
        <w:t>technickou</w:t>
      </w:r>
      <w:r>
        <w:rPr>
          <w:rFonts w:eastAsia="Times New Roman" w:cs="Times New Roman"/>
          <w:lang w:eastAsia="cs-CZ"/>
        </w:rPr>
        <w:t xml:space="preserve"> </w:t>
      </w:r>
      <w:r w:rsidR="0078450A" w:rsidRPr="00F0762B">
        <w:rPr>
          <w:rFonts w:eastAsia="Times New Roman" w:cs="Times New Roman"/>
          <w:lang w:eastAsia="cs-CZ"/>
        </w:rPr>
        <w:t>specifikac</w:t>
      </w:r>
      <w:r w:rsidRPr="00F0762B">
        <w:rPr>
          <w:rFonts w:eastAsia="Times New Roman" w:cs="Times New Roman"/>
          <w:lang w:eastAsia="cs-CZ"/>
        </w:rPr>
        <w:t>í</w:t>
      </w:r>
      <w:r w:rsidR="0078450A" w:rsidRPr="00F0762B">
        <w:rPr>
          <w:rFonts w:eastAsia="Times New Roman" w:cs="Times New Roman"/>
          <w:lang w:eastAsia="cs-CZ"/>
        </w:rPr>
        <w:t xml:space="preserve"> stroje</w:t>
      </w:r>
      <w:r w:rsidRPr="00F0762B">
        <w:rPr>
          <w:rFonts w:eastAsia="Times New Roman" w:cs="Times New Roman"/>
          <w:lang w:eastAsia="cs-CZ"/>
        </w:rPr>
        <w:t>, Dodací list</w:t>
      </w:r>
      <w:r>
        <w:rPr>
          <w:rFonts w:eastAsia="Times New Roman" w:cs="Times New Roman"/>
          <w:lang w:eastAsia="cs-CZ"/>
        </w:rPr>
        <w:t xml:space="preserve">, </w:t>
      </w:r>
      <w:r w:rsidRPr="007E4E2F">
        <w:rPr>
          <w:rFonts w:eastAsia="Times New Roman" w:cs="Times New Roman"/>
          <w:highlight w:val="green"/>
          <w:lang w:eastAsia="cs-CZ"/>
        </w:rPr>
        <w:t>…………</w:t>
      </w:r>
      <w:proofErr w:type="gramStart"/>
      <w:r w:rsidRPr="007E4E2F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7E4E2F">
        <w:rPr>
          <w:rFonts w:eastAsia="Times New Roman" w:cs="Times New Roman"/>
          <w:highlight w:val="green"/>
          <w:lang w:eastAsia="cs-CZ"/>
        </w:rPr>
        <w:t xml:space="preserve">. </w:t>
      </w:r>
      <w:r w:rsidRPr="003E1980">
        <w:rPr>
          <w:rFonts w:eastAsia="Times New Roman" w:cs="Times New Roman"/>
          <w:highlight w:val="green"/>
          <w:lang w:eastAsia="cs-CZ"/>
        </w:rPr>
        <w:t>.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5577A3B8" w:rsidR="009146AF" w:rsidRPr="00F0762B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0762B">
        <w:rPr>
          <w:rFonts w:eastAsia="Times New Roman" w:cs="Times New Roman"/>
          <w:lang w:eastAsia="cs-CZ"/>
        </w:rPr>
        <w:t>Záruční doba činí 24 měsíců.</w:t>
      </w:r>
    </w:p>
    <w:p w14:paraId="2097C982" w14:textId="70CC58D6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</w:t>
      </w:r>
      <w:r w:rsidR="00255F3B">
        <w:rPr>
          <w:rFonts w:eastAsia="Times New Roman"/>
          <w:lang w:eastAsia="cs-CZ"/>
        </w:rPr>
        <w:t>kontaktní osoby</w:t>
      </w:r>
    </w:p>
    <w:p w14:paraId="7A1A44EF" w14:textId="28043D47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4F3F13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4F3F13" w:rsidRPr="004F3F13">
        <w:rPr>
          <w:rFonts w:eastAsia="Times New Roman" w:cs="Times New Roman"/>
          <w:b w:val="0"/>
          <w:u w:val="none"/>
          <w:lang w:eastAsia="cs-CZ"/>
        </w:rPr>
        <w:t xml:space="preserve">3 </w:t>
      </w:r>
      <w:r w:rsidRPr="004F3F13">
        <w:rPr>
          <w:rFonts w:eastAsia="Times New Roman" w:cs="Times New Roman"/>
          <w:b w:val="0"/>
          <w:u w:val="none"/>
          <w:lang w:eastAsia="cs-CZ"/>
        </w:rPr>
        <w:t>této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Smlouvy. </w:t>
      </w:r>
    </w:p>
    <w:p w14:paraId="5CD37451" w14:textId="2EEE84F4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 a vymaže tuto položku ze seznamu příloh).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Pr="00E32C5F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 w:rsidRPr="00E32C5F">
        <w:rPr>
          <w:lang w:eastAsia="cs-CZ"/>
        </w:rPr>
        <w:t>Za Kupujícího</w:t>
      </w:r>
    </w:p>
    <w:p w14:paraId="7DF9CF06" w14:textId="48ACFB29" w:rsidR="00142929" w:rsidRPr="00E32C5F" w:rsidRDefault="00B40A47" w:rsidP="00B40A47">
      <w:pPr>
        <w:pStyle w:val="Odstavecseseznamem"/>
        <w:ind w:left="1418"/>
        <w:rPr>
          <w:i/>
          <w:lang w:eastAsia="cs-CZ"/>
        </w:rPr>
      </w:pPr>
      <w:r w:rsidRPr="00E32C5F">
        <w:rPr>
          <w:i/>
          <w:lang w:eastAsia="cs-CZ"/>
        </w:rPr>
        <w:t>ve věcech smluvních a obchodních (mimo podpisu této smlouvy):</w:t>
      </w:r>
    </w:p>
    <w:p w14:paraId="2F2C3A79" w14:textId="4E9B79C1" w:rsidR="00B40A47" w:rsidRPr="00E32C5F" w:rsidRDefault="00B40A47" w:rsidP="00E32C5F">
      <w:pPr>
        <w:pStyle w:val="Odstavecseseznamem"/>
        <w:spacing w:line="276" w:lineRule="auto"/>
        <w:ind w:left="1418"/>
        <w:rPr>
          <w:rFonts w:eastAsia="Times New Roman" w:cs="Times New Roman"/>
          <w:lang w:eastAsia="cs-CZ"/>
        </w:rPr>
      </w:pPr>
      <w:r w:rsidRPr="00E32C5F">
        <w:rPr>
          <w:rFonts w:eastAsia="Times New Roman" w:cs="Times New Roman"/>
          <w:lang w:eastAsia="cs-CZ"/>
        </w:rPr>
        <w:t xml:space="preserve">p. </w:t>
      </w:r>
      <w:r w:rsidR="004F6F27" w:rsidRPr="00E32C5F">
        <w:rPr>
          <w:rFonts w:eastAsia="Times New Roman" w:cs="Times New Roman"/>
          <w:lang w:eastAsia="cs-CZ"/>
        </w:rPr>
        <w:t>Bc. Lucie Křehlíková</w:t>
      </w:r>
      <w:r w:rsidRPr="00E32C5F">
        <w:rPr>
          <w:rFonts w:eastAsia="Times New Roman" w:cs="Times New Roman"/>
          <w:lang w:eastAsia="cs-CZ"/>
        </w:rPr>
        <w:t>, tel</w:t>
      </w:r>
      <w:r w:rsidR="004F6F27" w:rsidRPr="00E32C5F">
        <w:rPr>
          <w:rFonts w:eastAsia="Times New Roman" w:cs="Times New Roman"/>
          <w:lang w:eastAsia="cs-CZ"/>
        </w:rPr>
        <w:t>. 972 424 425</w:t>
      </w:r>
      <w:r w:rsidRPr="00E32C5F">
        <w:rPr>
          <w:rFonts w:eastAsia="Times New Roman" w:cs="Times New Roman"/>
          <w:lang w:eastAsia="cs-CZ"/>
        </w:rPr>
        <w:t xml:space="preserve">, email </w:t>
      </w:r>
      <w:hyperlink r:id="rId14" w:history="1">
        <w:r w:rsidR="004F6F27" w:rsidRPr="00E32C5F">
          <w:rPr>
            <w:rStyle w:val="Hypertextovodkaz"/>
            <w:rFonts w:eastAsia="Times New Roman" w:cs="Times New Roman"/>
            <w:lang w:eastAsia="cs-CZ"/>
          </w:rPr>
          <w:t>Krehlikova@spravazeleznic.cz</w:t>
        </w:r>
      </w:hyperlink>
      <w:r w:rsidR="004F6F27" w:rsidRPr="00E32C5F">
        <w:rPr>
          <w:rFonts w:eastAsia="Times New Roman" w:cs="Times New Roman"/>
          <w:lang w:eastAsia="cs-CZ"/>
        </w:rPr>
        <w:t xml:space="preserve"> </w:t>
      </w:r>
      <w:r w:rsidRPr="00E32C5F">
        <w:rPr>
          <w:rFonts w:eastAsia="Times New Roman" w:cs="Times New Roman"/>
          <w:lang w:eastAsia="cs-CZ"/>
        </w:rPr>
        <w:t>.</w:t>
      </w:r>
    </w:p>
    <w:p w14:paraId="786642BD" w14:textId="5D871254" w:rsidR="00B40A47" w:rsidRPr="00E32C5F" w:rsidRDefault="00B40A47" w:rsidP="00B40A47">
      <w:pPr>
        <w:pStyle w:val="Odstavecseseznamem"/>
        <w:ind w:left="1418"/>
        <w:rPr>
          <w:rFonts w:eastAsia="Times New Roman" w:cs="Times New Roman"/>
          <w:i/>
          <w:lang w:eastAsia="cs-CZ"/>
        </w:rPr>
      </w:pPr>
      <w:r w:rsidRPr="00E32C5F">
        <w:rPr>
          <w:rFonts w:eastAsia="Times New Roman" w:cs="Times New Roman"/>
          <w:i/>
          <w:lang w:eastAsia="cs-CZ"/>
        </w:rPr>
        <w:t>ve věcech technických:</w:t>
      </w:r>
    </w:p>
    <w:p w14:paraId="21D712C9" w14:textId="53CFF81F" w:rsidR="00B40A47" w:rsidRPr="00E32C5F" w:rsidRDefault="00B40A47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E32C5F">
        <w:rPr>
          <w:rFonts w:eastAsia="Times New Roman" w:cs="Times New Roman"/>
          <w:lang w:eastAsia="cs-CZ"/>
        </w:rPr>
        <w:t xml:space="preserve">p. </w:t>
      </w:r>
      <w:r w:rsidR="004F6F27" w:rsidRPr="00E32C5F">
        <w:rPr>
          <w:rFonts w:eastAsia="Times New Roman" w:cs="Times New Roman"/>
          <w:lang w:eastAsia="cs-CZ"/>
        </w:rPr>
        <w:t>Jan Kolman</w:t>
      </w:r>
      <w:r w:rsidRPr="00E32C5F">
        <w:rPr>
          <w:rFonts w:eastAsia="Times New Roman" w:cs="Times New Roman"/>
          <w:lang w:eastAsia="cs-CZ"/>
        </w:rPr>
        <w:t>, tel.</w:t>
      </w:r>
      <w:r w:rsidR="004F6F27" w:rsidRPr="00E32C5F">
        <w:rPr>
          <w:rFonts w:eastAsia="Times New Roman" w:cs="Times New Roman"/>
          <w:lang w:eastAsia="cs-CZ"/>
        </w:rPr>
        <w:t xml:space="preserve"> 972 424 110, 725 457 051</w:t>
      </w:r>
      <w:r w:rsidRPr="00E32C5F">
        <w:rPr>
          <w:rFonts w:eastAsia="Times New Roman" w:cs="Times New Roman"/>
          <w:lang w:eastAsia="cs-CZ"/>
        </w:rPr>
        <w:t>, email</w:t>
      </w:r>
      <w:r w:rsidR="00E32C5F">
        <w:rPr>
          <w:rFonts w:eastAsia="Times New Roman" w:cs="Times New Roman"/>
          <w:lang w:eastAsia="cs-CZ"/>
        </w:rPr>
        <w:t xml:space="preserve"> </w:t>
      </w:r>
      <w:hyperlink r:id="rId15" w:history="1">
        <w:r w:rsidR="004F6F27" w:rsidRPr="00E32C5F">
          <w:rPr>
            <w:rStyle w:val="Hypertextovodkaz"/>
            <w:rFonts w:eastAsia="Times New Roman" w:cs="Times New Roman"/>
            <w:lang w:eastAsia="cs-CZ"/>
          </w:rPr>
          <w:t>Kolman@spravazeleznic.cz</w:t>
        </w:r>
      </w:hyperlink>
      <w:r w:rsidRPr="00E32C5F">
        <w:rPr>
          <w:rFonts w:eastAsia="Times New Roman" w:cs="Times New Roman"/>
          <w:lang w:eastAsia="cs-CZ"/>
        </w:rPr>
        <w:t>.</w:t>
      </w:r>
    </w:p>
    <w:p w14:paraId="1D688B05" w14:textId="5E950EE9" w:rsidR="00E32C5F" w:rsidRPr="00142929" w:rsidRDefault="00E32C5F" w:rsidP="00E32C5F">
      <w:pPr>
        <w:pStyle w:val="Odstavecseseznamem"/>
        <w:spacing w:line="360" w:lineRule="auto"/>
        <w:ind w:left="1418"/>
        <w:rPr>
          <w:lang w:eastAsia="cs-CZ"/>
        </w:rPr>
      </w:pPr>
      <w:r w:rsidRPr="00E32C5F">
        <w:rPr>
          <w:lang w:eastAsia="cs-CZ"/>
        </w:rPr>
        <w:t xml:space="preserve">p. Martin Pauer, tel. 607 261 823, email </w:t>
      </w:r>
      <w:hyperlink r:id="rId16" w:history="1">
        <w:r w:rsidRPr="00E32C5F">
          <w:rPr>
            <w:rStyle w:val="Hypertextovodkaz"/>
            <w:lang w:eastAsia="cs-CZ"/>
          </w:rPr>
          <w:t>PauerM@spravazeleznic.cz</w:t>
        </w:r>
      </w:hyperlink>
      <w:r>
        <w:rPr>
          <w:lang w:eastAsia="cs-CZ"/>
        </w:rPr>
        <w:t xml:space="preserve"> </w:t>
      </w:r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Pr="008D4265" w:rsidRDefault="00142929" w:rsidP="00B40A47">
      <w:pPr>
        <w:pStyle w:val="Odstavecseseznamem"/>
        <w:ind w:left="1418"/>
        <w:rPr>
          <w:rFonts w:eastAsia="Times New Roman" w:cs="Times New Roman"/>
          <w:i/>
          <w:highlight w:val="green"/>
          <w:lang w:eastAsia="cs-CZ"/>
        </w:rPr>
      </w:pPr>
      <w:r w:rsidRPr="008D4265">
        <w:rPr>
          <w:rFonts w:eastAsia="Times New Roman" w:cs="Times New Roman"/>
          <w:i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5F05F27C" w14:textId="77777777" w:rsidR="00B40A47" w:rsidRPr="008D4265" w:rsidRDefault="00142929" w:rsidP="00B40A47">
      <w:pPr>
        <w:pStyle w:val="Odstavecseseznamem"/>
        <w:ind w:left="1418"/>
        <w:rPr>
          <w:rFonts w:eastAsia="Times New Roman" w:cs="Times New Roman"/>
          <w:i/>
          <w:lang w:eastAsia="cs-CZ"/>
        </w:rPr>
      </w:pPr>
      <w:r w:rsidRPr="008D4265">
        <w:rPr>
          <w:rFonts w:eastAsia="Times New Roman" w:cs="Times New Roman"/>
          <w:i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B40A47">
      <w:pPr>
        <w:pStyle w:val="Odstavecseseznamem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369B6D3A" w14:textId="7F712F18" w:rsidR="00B40A47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proofErr w:type="spellStart"/>
      <w:r>
        <w:rPr>
          <w:rFonts w:eastAsia="Times New Roman" w:cs="Times New Roman"/>
          <w:b w:val="0"/>
          <w:u w:val="none"/>
          <w:lang w:eastAsia="cs-CZ"/>
        </w:rPr>
        <w:t>Compliance</w:t>
      </w:r>
      <w:proofErr w:type="spellEnd"/>
      <w:r>
        <w:rPr>
          <w:rFonts w:eastAsia="Times New Roman" w:cs="Times New Roman"/>
          <w:b w:val="0"/>
          <w:u w:val="none"/>
          <w:lang w:eastAsia="cs-CZ"/>
        </w:rPr>
        <w:t xml:space="preserve"> doložka a etické zásady</w:t>
      </w:r>
    </w:p>
    <w:p w14:paraId="3428A734" w14:textId="059E4B66" w:rsidR="008D48F3" w:rsidRPr="008D48F3" w:rsidRDefault="008D48F3" w:rsidP="008D48F3">
      <w:pPr>
        <w:spacing w:after="0" w:line="240" w:lineRule="auto"/>
        <w:ind w:left="708"/>
        <w:rPr>
          <w:lang w:eastAsia="cs-CZ"/>
        </w:rPr>
      </w:pPr>
      <w:r w:rsidRPr="008D48F3">
        <w:rPr>
          <w:lang w:eastAsia="cs-CZ"/>
        </w:rP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8D48F3">
        <w:rPr>
          <w:lang w:eastAsia="cs-CZ"/>
        </w:rPr>
        <w:t>compliance</w:t>
      </w:r>
      <w:proofErr w:type="spellEnd"/>
      <w:r w:rsidRPr="008D48F3">
        <w:rPr>
          <w:lang w:eastAsia="cs-CZ"/>
        </w:rP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40ECEA5D" w14:textId="0F4AFC92" w:rsidR="00B40A47" w:rsidRPr="00DA1732" w:rsidRDefault="008D48F3" w:rsidP="00B40A47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DA1732">
        <w:rPr>
          <w:rFonts w:eastAsia="Times New Roman" w:cs="Times New Roman"/>
          <w:b w:val="0"/>
          <w:u w:val="none"/>
          <w:lang w:eastAsia="cs-CZ"/>
        </w:rPr>
        <w:t>Sociálně a environmentálně odpovědné zadávání</w:t>
      </w:r>
    </w:p>
    <w:p w14:paraId="136F06E1" w14:textId="77777777" w:rsidR="00DA1732" w:rsidRPr="00453084" w:rsidRDefault="00DA1732" w:rsidP="00DA1732">
      <w:pPr>
        <w:pStyle w:val="acnormal"/>
        <w:spacing w:before="0" w:line="240" w:lineRule="auto"/>
        <w:ind w:left="708"/>
        <w:jc w:val="left"/>
        <w:rPr>
          <w:rFonts w:ascii="Verdana" w:hAnsi="Verdana" w:cstheme="minorHAnsi"/>
          <w:sz w:val="18"/>
          <w:szCs w:val="18"/>
        </w:rPr>
      </w:pPr>
      <w:r w:rsidRPr="00722A99">
        <w:rPr>
          <w:rFonts w:ascii="Verdana" w:hAnsi="Verdana" w:cstheme="minorHAnsi"/>
          <w:sz w:val="18"/>
          <w:szCs w:val="18"/>
        </w:rPr>
        <w:t xml:space="preserve">Kupující požaduje, aby Prodávající při plnění dílčích smluv uzavřených na základě této rámcové dohody </w:t>
      </w:r>
      <w:r w:rsidRPr="00356608">
        <w:rPr>
          <w:rFonts w:ascii="Verdana" w:hAnsi="Verdana" w:cstheme="minorHAnsi"/>
          <w:sz w:val="18"/>
          <w:szCs w:val="18"/>
        </w:rPr>
        <w:t xml:space="preserve">pro </w:t>
      </w:r>
      <w:r>
        <w:rPr>
          <w:rFonts w:ascii="Verdana" w:hAnsi="Verdana" w:cstheme="minorHAnsi"/>
          <w:sz w:val="18"/>
          <w:szCs w:val="18"/>
        </w:rPr>
        <w:t>Kupujícího</w:t>
      </w:r>
      <w:r w:rsidRPr="00356608">
        <w:rPr>
          <w:rFonts w:ascii="Verdana" w:hAnsi="Verdana" w:cstheme="minorHAnsi"/>
          <w:sz w:val="18"/>
          <w:szCs w:val="18"/>
        </w:rPr>
        <w:t xml:space="preserve"> </w:t>
      </w:r>
      <w:r w:rsidRPr="00453084">
        <w:rPr>
          <w:rFonts w:ascii="Verdana" w:hAnsi="Verdana" w:cstheme="minorHAnsi"/>
          <w:sz w:val="18"/>
          <w:szCs w:val="18"/>
        </w:rPr>
        <w:t xml:space="preserve">zajistil rovnocenné platební podmínky, jako má sjednány </w:t>
      </w:r>
      <w:r>
        <w:rPr>
          <w:rFonts w:ascii="Verdana" w:hAnsi="Verdana" w:cstheme="minorHAnsi"/>
          <w:sz w:val="18"/>
          <w:szCs w:val="18"/>
        </w:rPr>
        <w:t>Prodávající</w:t>
      </w:r>
      <w:r w:rsidRPr="00453084">
        <w:rPr>
          <w:rFonts w:ascii="Verdana" w:hAnsi="Verdana" w:cstheme="minorHAnsi"/>
          <w:sz w:val="18"/>
          <w:szCs w:val="18"/>
        </w:rPr>
        <w:t xml:space="preserve"> s </w:t>
      </w:r>
      <w:r>
        <w:rPr>
          <w:rFonts w:ascii="Verdana" w:hAnsi="Verdana" w:cstheme="minorHAnsi"/>
          <w:sz w:val="18"/>
          <w:szCs w:val="18"/>
        </w:rPr>
        <w:t>Kupujícím</w:t>
      </w:r>
      <w:r w:rsidRPr="00453084">
        <w:rPr>
          <w:rFonts w:ascii="Verdana" w:hAnsi="Verdana" w:cstheme="minorHAnsi"/>
          <w:sz w:val="18"/>
          <w:szCs w:val="18"/>
        </w:rPr>
        <w:t>, a to následovně:</w:t>
      </w:r>
    </w:p>
    <w:p w14:paraId="2567A31B" w14:textId="77777777" w:rsidR="00DA1732" w:rsidRDefault="00DA1732" w:rsidP="00DA1732">
      <w:pPr>
        <w:pStyle w:val="acnormal"/>
        <w:spacing w:line="240" w:lineRule="auto"/>
        <w:ind w:left="1410" w:hanging="70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a)</w:t>
      </w:r>
      <w:r w:rsidRPr="00D30652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Prodávající</w:t>
      </w:r>
      <w:r w:rsidRPr="00D30652">
        <w:rPr>
          <w:rFonts w:ascii="Verdana" w:hAnsi="Verdana"/>
          <w:sz w:val="18"/>
          <w:szCs w:val="18"/>
        </w:rPr>
        <w:t xml:space="preserve"> se zavazuje ujednat si s dalšími osobami, které se na jeho straně podílejí na realizaci </w:t>
      </w:r>
      <w:r>
        <w:rPr>
          <w:rFonts w:ascii="Verdana" w:hAnsi="Verdana"/>
          <w:sz w:val="18"/>
          <w:szCs w:val="18"/>
        </w:rPr>
        <w:t>předmětu plnění</w:t>
      </w:r>
      <w:r w:rsidRPr="00D30652">
        <w:rPr>
          <w:rFonts w:ascii="Verdana" w:hAnsi="Verdana"/>
          <w:sz w:val="18"/>
          <w:szCs w:val="18"/>
        </w:rPr>
        <w:t xml:space="preserve">, a jsou podnikateli (dále jen „smluvní partneři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“), stejnou nebo kratší dobu splatnosti daňových dokladů, jaká je sjednána v této smlouvě. </w:t>
      </w:r>
      <w:r>
        <w:rPr>
          <w:rFonts w:ascii="Verdana" w:hAnsi="Verdana"/>
          <w:sz w:val="18"/>
          <w:szCs w:val="18"/>
        </w:rPr>
        <w:t>Prodávající</w:t>
      </w:r>
      <w:r w:rsidRPr="00D30652">
        <w:rPr>
          <w:rFonts w:ascii="Verdana" w:hAnsi="Verdana"/>
          <w:sz w:val="18"/>
          <w:szCs w:val="18"/>
        </w:rPr>
        <w:t xml:space="preserve"> se zavazuje na písemnou výzvu předložit </w:t>
      </w:r>
      <w:r>
        <w:rPr>
          <w:rFonts w:ascii="Verdana" w:hAnsi="Verdana"/>
          <w:sz w:val="18"/>
          <w:szCs w:val="18"/>
        </w:rPr>
        <w:t>Kupujícímu</w:t>
      </w:r>
      <w:r w:rsidRPr="00D30652">
        <w:rPr>
          <w:rFonts w:ascii="Verdana" w:hAnsi="Verdana"/>
          <w:sz w:val="18"/>
          <w:szCs w:val="18"/>
        </w:rPr>
        <w:t xml:space="preserve"> do tří pracovních dnů od doručení výzvy smluvní dokumentaci (včetně jejich případných změn) se smluvními partnery </w:t>
      </w:r>
      <w:r>
        <w:rPr>
          <w:rFonts w:ascii="Verdana" w:hAnsi="Verdana"/>
          <w:sz w:val="18"/>
          <w:szCs w:val="18"/>
        </w:rPr>
        <w:t xml:space="preserve">Prodávajícího </w:t>
      </w:r>
      <w:r w:rsidRPr="00D30652">
        <w:rPr>
          <w:rFonts w:ascii="Verdana" w:hAnsi="Verdana"/>
          <w:sz w:val="18"/>
          <w:szCs w:val="18"/>
        </w:rPr>
        <w:t xml:space="preserve">uvedenými ve výzvě </w:t>
      </w:r>
      <w:r>
        <w:rPr>
          <w:rFonts w:ascii="Verdana" w:hAnsi="Verdana"/>
          <w:sz w:val="18"/>
          <w:szCs w:val="18"/>
        </w:rPr>
        <w:t>Kupujícího</w:t>
      </w:r>
      <w:r w:rsidRPr="00D30652">
        <w:rPr>
          <w:rFonts w:ascii="Verdana" w:hAnsi="Verdana"/>
          <w:sz w:val="18"/>
          <w:szCs w:val="18"/>
        </w:rPr>
        <w:t xml:space="preserve">, ze kterých bude vyplývat splnění povinnosti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 dle předchozí věty. Předkládaná smluvní dokumentace bude anonymizována tak, aby neobsahovala osobní údaje či obchodní tajemství dodavatele či smluvních partnerů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; musí z ní však vždy být zřejmé splnění povinnosti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 dle tohoto odstavce smlouvy.</w:t>
      </w:r>
    </w:p>
    <w:p w14:paraId="13E91396" w14:textId="77777777" w:rsidR="00DA1732" w:rsidRPr="00356608" w:rsidRDefault="00DA1732" w:rsidP="00DA1732">
      <w:pPr>
        <w:pStyle w:val="acnormal"/>
        <w:spacing w:line="240" w:lineRule="auto"/>
        <w:ind w:left="1410" w:hanging="70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Prodávající</w:t>
      </w:r>
      <w:r w:rsidRPr="00D30652">
        <w:rPr>
          <w:rFonts w:ascii="Verdana" w:hAnsi="Verdana"/>
          <w:sz w:val="18"/>
          <w:szCs w:val="18"/>
        </w:rPr>
        <w:t xml:space="preserve"> se zavazuje uhradit smluvní pokutu ve výši 10.000 Kč za </w:t>
      </w:r>
      <w:proofErr w:type="gramStart"/>
      <w:r w:rsidRPr="00D30652">
        <w:rPr>
          <w:rFonts w:ascii="Verdana" w:hAnsi="Verdana"/>
          <w:sz w:val="18"/>
          <w:szCs w:val="18"/>
        </w:rPr>
        <w:t>každý</w:t>
      </w:r>
      <w:proofErr w:type="gramEnd"/>
      <w:r w:rsidRPr="00D30652">
        <w:rPr>
          <w:rFonts w:ascii="Verdana" w:hAnsi="Verdana"/>
          <w:sz w:val="18"/>
          <w:szCs w:val="18"/>
        </w:rPr>
        <w:t xml:space="preserve"> byť i započatý den prodlení se splněním povinnosti předložit smluvní dokumentaci dle předchozího odstavce smlouvy. </w:t>
      </w:r>
      <w:r>
        <w:rPr>
          <w:rFonts w:ascii="Verdana" w:hAnsi="Verdana"/>
          <w:sz w:val="18"/>
          <w:szCs w:val="18"/>
        </w:rPr>
        <w:t>Prodávající</w:t>
      </w:r>
      <w:r w:rsidRPr="00D30652">
        <w:rPr>
          <w:rFonts w:ascii="Verdana" w:hAnsi="Verdana"/>
          <w:sz w:val="18"/>
          <w:szCs w:val="18"/>
        </w:rPr>
        <w:t xml:space="preserve"> se dále zavazuje uhradit smluvní pokutu ve výši 10.000 Kč za </w:t>
      </w:r>
      <w:proofErr w:type="gramStart"/>
      <w:r w:rsidRPr="00D30652">
        <w:rPr>
          <w:rFonts w:ascii="Verdana" w:hAnsi="Verdana"/>
          <w:sz w:val="18"/>
          <w:szCs w:val="18"/>
        </w:rPr>
        <w:t>každý</w:t>
      </w:r>
      <w:proofErr w:type="gramEnd"/>
      <w:r w:rsidRPr="00D30652">
        <w:rPr>
          <w:rFonts w:ascii="Verdana" w:hAnsi="Verdana"/>
          <w:sz w:val="18"/>
          <w:szCs w:val="18"/>
        </w:rPr>
        <w:t xml:space="preserve"> byť i započatý den, po který porušil svou povinnost mít se smluvními partnery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 stejnou nebo kratší dobu splatnosti daňových dokladů, jaká je sjednána v této smlouvě. Smluvní sankce dle tohoto odstavce smlouvy lze v případě postupného porušení obou povinností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 sčítat</w:t>
      </w:r>
      <w:r>
        <w:rPr>
          <w:rFonts w:ascii="Verdana" w:hAnsi="Verdana"/>
          <w:sz w:val="18"/>
          <w:szCs w:val="18"/>
        </w:rP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1CF345D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053E82A8" w:rsidR="00BD32CD" w:rsidRPr="00483C85" w:rsidRDefault="00B25AED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lastRenderedPageBreak/>
        <w:t>dle článku 5k nařízení Rady (EU) č. 833/2014 ze dne 31. července 2014 o omezujících opatřeních vzhledem k činnostem Ruska destabilizujícím situaci na 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0E058CC9" w14:textId="6B13C25E" w:rsidR="00DC41AD" w:rsidRPr="00483C85" w:rsidRDefault="00BD32CD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31E37052" w:rsidR="009768EC" w:rsidRPr="00483C85" w:rsidRDefault="009768E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 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6CB0FD73" w14:textId="5BDD6453" w:rsidR="00F010DC" w:rsidRPr="00483C85" w:rsidRDefault="00F010D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</w:t>
      </w:r>
      <w:r w:rsidR="003A7A56">
        <w:rPr>
          <w:b w:val="0"/>
          <w:u w:val="none"/>
          <w:lang w:eastAsia="cs-CZ"/>
        </w:rPr>
        <w:t>,</w:t>
      </w:r>
      <w:r>
        <w:rPr>
          <w:b w:val="0"/>
          <w:u w:val="none"/>
          <w:lang w:eastAsia="cs-CZ"/>
        </w:rPr>
        <w:t xml:space="preserve"> zavazuje</w:t>
      </w:r>
      <w:r w:rsidR="00C82BF5">
        <w:rPr>
          <w:b w:val="0"/>
          <w:u w:val="none"/>
          <w:lang w:eastAsia="cs-CZ"/>
        </w:rPr>
        <w:t xml:space="preserve">, že </w:t>
      </w:r>
      <w:r w:rsidR="0067279B">
        <w:rPr>
          <w:b w:val="0"/>
          <w:u w:val="none"/>
          <w:lang w:eastAsia="cs-CZ"/>
        </w:rPr>
        <w:t>finanční prostředky</w:t>
      </w:r>
      <w:r w:rsidR="003A7A56">
        <w:rPr>
          <w:b w:val="0"/>
          <w:u w:val="none"/>
          <w:lang w:eastAsia="cs-CZ"/>
        </w:rPr>
        <w:t xml:space="preserve"> </w:t>
      </w:r>
      <w:r w:rsidR="003A7A56" w:rsidRPr="00483C85">
        <w:rPr>
          <w:b w:val="0"/>
          <w:u w:val="none"/>
          <w:lang w:eastAsia="cs-CZ"/>
        </w:rPr>
        <w:t>ani hospodářské zdroje</w:t>
      </w:r>
      <w:r w:rsidR="0067279B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>
        <w:rPr>
          <w:b w:val="0"/>
          <w:u w:val="none"/>
          <w:lang w:eastAsia="cs-CZ"/>
        </w:rPr>
        <w:t>S</w:t>
      </w:r>
      <w:r w:rsidR="0067279B">
        <w:rPr>
          <w:b w:val="0"/>
          <w:u w:val="none"/>
          <w:lang w:eastAsia="cs-CZ"/>
        </w:rPr>
        <w:t>ankčních seznamech</w:t>
      </w:r>
      <w:r w:rsidR="003A7A56">
        <w:rPr>
          <w:b w:val="0"/>
          <w:u w:val="none"/>
          <w:lang w:eastAsia="cs-CZ"/>
        </w:rPr>
        <w:t>,</w:t>
      </w:r>
      <w:r w:rsidR="003A7A56" w:rsidRPr="00483C85">
        <w:rPr>
          <w:b w:val="0"/>
          <w:u w:val="none"/>
          <w:lang w:eastAsia="cs-CZ"/>
        </w:rPr>
        <w:t xml:space="preserve"> nebo v jejich prospěch</w:t>
      </w:r>
      <w:r w:rsidR="0067279B">
        <w:rPr>
          <w:b w:val="0"/>
          <w:u w:val="none"/>
          <w:lang w:eastAsia="cs-CZ"/>
        </w:rPr>
        <w:t>.</w:t>
      </w:r>
    </w:p>
    <w:p w14:paraId="32BCF8CB" w14:textId="6B803843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prohlášení Prodávajícího dle </w:t>
      </w:r>
      <w:r w:rsidRPr="00F010DC">
        <w:rPr>
          <w:b w:val="0"/>
          <w:u w:val="none"/>
          <w:lang w:eastAsia="cs-CZ"/>
        </w:rPr>
        <w:t xml:space="preserve">odstavce 9.1 a 9.2 této Smlouvy jako nepravdivá 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výši </w:t>
      </w:r>
      <w:r w:rsidR="00AA52E0" w:rsidRPr="00722C9A">
        <w:rPr>
          <w:u w:val="none"/>
          <w:lang w:eastAsia="cs-CZ"/>
        </w:rPr>
        <w:t>5</w:t>
      </w:r>
      <w:r w:rsidR="001A3602" w:rsidRPr="00722C9A">
        <w:rPr>
          <w:u w:val="none"/>
          <w:lang w:eastAsia="cs-CZ"/>
        </w:rPr>
        <w:t xml:space="preserve"> %</w:t>
      </w:r>
      <w:r w:rsidR="001A3602" w:rsidRPr="00483C85">
        <w:rPr>
          <w:b w:val="0"/>
          <w:u w:val="none"/>
          <w:lang w:eastAsia="cs-CZ"/>
        </w:rPr>
        <w:t xml:space="preserve">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6C37CA62" w:rsidR="00D85C5B" w:rsidRDefault="008B659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 w:rsidR="00B12172"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</w:t>
      </w:r>
      <w:r w:rsidR="00722C9A" w:rsidRPr="00722C9A">
        <w:rPr>
          <w:rFonts w:eastAsia="Times New Roman" w:cs="Times New Roman"/>
          <w:u w:val="none"/>
          <w:lang w:eastAsia="cs-CZ"/>
        </w:rPr>
        <w:t>jedno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vyhotovení a P</w:t>
      </w:r>
      <w:r w:rsidR="00B12172"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vyhotovení.</w:t>
      </w:r>
    </w:p>
    <w:p w14:paraId="0B2F097D" w14:textId="77777777" w:rsidR="00B12172" w:rsidRPr="00B12172" w:rsidRDefault="00B12172" w:rsidP="00B12172">
      <w:pPr>
        <w:spacing w:after="0"/>
        <w:ind w:left="708"/>
        <w:rPr>
          <w:i/>
          <w:iCs/>
          <w:lang w:eastAsia="cs-CZ"/>
        </w:rPr>
      </w:pPr>
      <w:r w:rsidRPr="00B12172">
        <w:rPr>
          <w:i/>
          <w:iCs/>
          <w:color w:val="00B050"/>
          <w:lang w:eastAsia="cs-CZ"/>
        </w:rPr>
        <w:t>Nebo v případě vyhotovení Smlouvy v elektronické podobě:</w:t>
      </w:r>
    </w:p>
    <w:p w14:paraId="693A595B" w14:textId="268BC13A" w:rsidR="00B12172" w:rsidRPr="00B12172" w:rsidRDefault="00B12172" w:rsidP="00B12172">
      <w:pPr>
        <w:spacing w:after="0"/>
        <w:ind w:left="708"/>
        <w:rPr>
          <w:lang w:eastAsia="cs-CZ"/>
        </w:rPr>
      </w:pPr>
      <w:r>
        <w:rPr>
          <w:lang w:eastAsia="cs-CZ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722C9A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</w:t>
      </w:r>
      <w:r w:rsidRPr="00722C9A">
        <w:rPr>
          <w:rFonts w:eastAsia="Times New Roman" w:cs="Times New Roman"/>
          <w:b w:val="0"/>
          <w:u w:val="none"/>
          <w:lang w:eastAsia="cs-CZ"/>
        </w:rPr>
        <w:t>podmínek, Obchodní podmínky se užijí v rozsahu, v jakém nejsou v rozporu s takovými zvláštními podmínkami.</w:t>
      </w:r>
    </w:p>
    <w:p w14:paraId="1B93A962" w14:textId="24B99360" w:rsidR="00D85C5B" w:rsidRPr="00722C9A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722C9A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722C9A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722C9A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722C9A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4E1498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6DF2AEAD" w14:textId="3E2126E2" w:rsidR="003466C9" w:rsidRPr="001929DA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929DA">
        <w:rPr>
          <w:rFonts w:eastAsia="Times New Roman" w:cs="Times New Roman"/>
          <w:lang w:eastAsia="cs-CZ"/>
        </w:rPr>
        <w:t>Obchodní podmínky</w:t>
      </w:r>
      <w:r w:rsidR="0093791A">
        <w:rPr>
          <w:rFonts w:eastAsia="Times New Roman" w:cs="Times New Roman"/>
          <w:lang w:eastAsia="cs-CZ"/>
        </w:rPr>
        <w:t xml:space="preserve"> – Kupní smlouva</w:t>
      </w:r>
    </w:p>
    <w:p w14:paraId="12242800" w14:textId="1F8EF4D2" w:rsidR="003466C9" w:rsidRPr="001929DA" w:rsidRDefault="005E5797" w:rsidP="005E5797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929DA">
        <w:rPr>
          <w:rFonts w:eastAsia="Times New Roman" w:cs="Times New Roman"/>
          <w:lang w:eastAsia="cs-CZ"/>
        </w:rPr>
        <w:t xml:space="preserve">Oceněný položkový rozpočet vč. </w:t>
      </w:r>
      <w:r w:rsidR="003466C9" w:rsidRPr="001929DA">
        <w:rPr>
          <w:rFonts w:eastAsia="Times New Roman" w:cs="Times New Roman"/>
          <w:lang w:eastAsia="cs-CZ"/>
        </w:rPr>
        <w:t>Bližší specifikace předmětu koupě</w:t>
      </w:r>
    </w:p>
    <w:p w14:paraId="33EE2A21" w14:textId="77938F8C" w:rsidR="003466C9" w:rsidRPr="009B4030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Seznam poddodavatelů </w:t>
      </w:r>
      <w:r w:rsidRPr="001F64DA">
        <w:rPr>
          <w:rFonts w:eastAsia="Times New Roman" w:cs="Times New Roman"/>
          <w:i/>
          <w:iCs/>
          <w:highlight w:val="green"/>
          <w:lang w:eastAsia="cs-CZ"/>
        </w:rPr>
        <w:t xml:space="preserve">– doplní </w:t>
      </w:r>
      <w:r>
        <w:rPr>
          <w:rFonts w:eastAsia="Times New Roman" w:cs="Times New Roman"/>
          <w:i/>
          <w:iCs/>
          <w:highlight w:val="green"/>
          <w:lang w:eastAsia="cs-CZ"/>
        </w:rPr>
        <w:t>Prodávající</w:t>
      </w:r>
    </w:p>
    <w:p w14:paraId="52D2FDDE" w14:textId="335C0943" w:rsidR="003466C9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Plná moc </w:t>
      </w:r>
      <w:r w:rsidRPr="007B55A0">
        <w:rPr>
          <w:rFonts w:eastAsia="Times New Roman" w:cs="Times New Roman"/>
          <w:i/>
          <w:highlight w:val="green"/>
          <w:lang w:eastAsia="cs-CZ"/>
        </w:rPr>
        <w:t>(pouze v případě zastoupení prodávajícího osobou na základě plné moci)</w:t>
      </w:r>
    </w:p>
    <w:p w14:paraId="6CDC2C53" w14:textId="77777777" w:rsidR="00722C9A" w:rsidRPr="001F64DA" w:rsidRDefault="00722C9A" w:rsidP="00722C9A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5B0C73">
        <w:t>V………………dne ……………</w:t>
      </w:r>
      <w:r w:rsidRPr="005B0C73">
        <w:tab/>
      </w:r>
      <w:r w:rsidRPr="005B0C73">
        <w:tab/>
      </w:r>
      <w:r w:rsidRPr="005B0C73">
        <w:tab/>
      </w:r>
      <w:r w:rsidRPr="005B0C73"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37C6C4C0" w14:textId="77777777" w:rsidR="00722C9A" w:rsidRDefault="00722C9A" w:rsidP="00722C9A">
      <w:pPr>
        <w:spacing w:after="0" w:line="276" w:lineRule="auto"/>
        <w:rPr>
          <w:rFonts w:asciiTheme="majorHAnsi" w:hAnsiTheme="majorHAnsi"/>
          <w:b/>
          <w:noProof/>
        </w:rPr>
      </w:pPr>
      <w:r w:rsidRPr="00DC4135">
        <w:rPr>
          <w:b/>
          <w:noProof/>
        </w:rPr>
        <w:t>Ing. Martin Kašpar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EF1D33">
        <w:rPr>
          <w:rFonts w:asciiTheme="majorHAnsi" w:hAnsiTheme="majorHAnsi"/>
          <w:b/>
          <w:noProof/>
          <w:highlight w:val="green"/>
        </w:rPr>
        <w:t>[</w:t>
      </w:r>
      <w:r w:rsidRPr="00EF1D33">
        <w:rPr>
          <w:rFonts w:asciiTheme="majorHAnsi" w:hAnsiTheme="majorHAnsi"/>
          <w:b/>
          <w:i/>
          <w:iCs/>
          <w:noProof/>
          <w:highlight w:val="green"/>
        </w:rPr>
        <w:t>DOPLNÍ PRODÁVAJÍCÍ</w:t>
      </w:r>
      <w:r w:rsidRPr="00EF1D33">
        <w:rPr>
          <w:rFonts w:asciiTheme="majorHAnsi" w:hAnsiTheme="majorHAnsi"/>
          <w:b/>
          <w:noProof/>
          <w:highlight w:val="green"/>
        </w:rPr>
        <w:t>]</w:t>
      </w:r>
    </w:p>
    <w:p w14:paraId="11A2F6C4" w14:textId="01321739" w:rsidR="003466C9" w:rsidRDefault="00722C9A" w:rsidP="00722C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>
        <w:rPr>
          <w:noProof/>
        </w:rPr>
        <w:t>ředitel Oblastního ředitelství Ústí nad Labem</w:t>
      </w:r>
      <w:r>
        <w:rPr>
          <w:noProof/>
        </w:rPr>
        <w:tab/>
      </w:r>
      <w:r>
        <w:rPr>
          <w:noProof/>
        </w:rPr>
        <w:tab/>
        <w:t xml:space="preserve">…………………………………………………                                                              </w:t>
      </w:r>
      <w:r w:rsidRPr="00F3703E">
        <w:rPr>
          <w:b/>
          <w:noProof/>
        </w:rPr>
        <w:t>Správa železnic, státní organizace</w:t>
      </w:r>
      <w:r w:rsidR="000E7AA2">
        <w:rPr>
          <w:b/>
          <w:noProof/>
        </w:rPr>
        <w:tab/>
      </w:r>
      <w:r w:rsidR="000E7AA2">
        <w:rPr>
          <w:b/>
          <w:noProof/>
        </w:rPr>
        <w:tab/>
      </w:r>
      <w:r w:rsidR="000E7AA2">
        <w:rPr>
          <w:b/>
          <w:noProof/>
        </w:rPr>
        <w:tab/>
        <w:t>……………………………………...</w:t>
      </w:r>
      <w:bookmarkStart w:id="1" w:name="_GoBack"/>
      <w:bookmarkEnd w:id="1"/>
    </w:p>
    <w:sectPr w:rsidR="003466C9" w:rsidSect="00FC6389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B31F5" w16cex:dateUtc="2023-03-02T13:32:00Z"/>
  <w16cex:commentExtensible w16cex:durableId="27AB2763" w16cex:dateUtc="2023-03-02T12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52884" w14:textId="77777777" w:rsidR="007273EF" w:rsidRDefault="007273EF" w:rsidP="00962258">
      <w:pPr>
        <w:spacing w:after="0" w:line="240" w:lineRule="auto"/>
      </w:pPr>
      <w:r>
        <w:separator/>
      </w:r>
    </w:p>
  </w:endnote>
  <w:endnote w:type="continuationSeparator" w:id="0">
    <w:p w14:paraId="6300D69B" w14:textId="77777777" w:rsidR="007273EF" w:rsidRDefault="007273E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1DC2B" w14:textId="77777777" w:rsidR="007273EF" w:rsidRDefault="007273EF" w:rsidP="00962258">
      <w:pPr>
        <w:spacing w:after="0" w:line="240" w:lineRule="auto"/>
      </w:pPr>
      <w:r>
        <w:separator/>
      </w:r>
    </w:p>
  </w:footnote>
  <w:footnote w:type="continuationSeparator" w:id="0">
    <w:p w14:paraId="630AAB6E" w14:textId="77777777" w:rsidR="007273EF" w:rsidRDefault="007273E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1"/>
  </w:num>
  <w:num w:numId="5">
    <w:abstractNumId w:val="7"/>
  </w:num>
  <w:num w:numId="6">
    <w:abstractNumId w:val="5"/>
  </w:num>
  <w:num w:numId="7">
    <w:abstractNumId w:val="8"/>
  </w:num>
  <w:num w:numId="8">
    <w:abstractNumId w:val="10"/>
  </w:num>
  <w:num w:numId="9">
    <w:abstractNumId w:val="12"/>
  </w:num>
  <w:num w:numId="10">
    <w:abstractNumId w:val="9"/>
  </w:num>
  <w:num w:numId="11">
    <w:abstractNumId w:val="7"/>
  </w:num>
  <w:num w:numId="12">
    <w:abstractNumId w:val="2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6"/>
  </w:num>
  <w:num w:numId="18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33414"/>
    <w:rsid w:val="00054D01"/>
    <w:rsid w:val="00060FEC"/>
    <w:rsid w:val="00065284"/>
    <w:rsid w:val="00072C1E"/>
    <w:rsid w:val="00092B31"/>
    <w:rsid w:val="000C5DA0"/>
    <w:rsid w:val="000D1379"/>
    <w:rsid w:val="000D4601"/>
    <w:rsid w:val="000E23A7"/>
    <w:rsid w:val="000E4F4B"/>
    <w:rsid w:val="000E7AA2"/>
    <w:rsid w:val="000F674A"/>
    <w:rsid w:val="0010693F"/>
    <w:rsid w:val="00111360"/>
    <w:rsid w:val="00114472"/>
    <w:rsid w:val="00142929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929DA"/>
    <w:rsid w:val="001A3602"/>
    <w:rsid w:val="001A736B"/>
    <w:rsid w:val="001B540F"/>
    <w:rsid w:val="001C22E7"/>
    <w:rsid w:val="001C4874"/>
    <w:rsid w:val="001E62F8"/>
    <w:rsid w:val="00203507"/>
    <w:rsid w:val="00203BA9"/>
    <w:rsid w:val="00207DF5"/>
    <w:rsid w:val="00223683"/>
    <w:rsid w:val="00255F3B"/>
    <w:rsid w:val="00280E07"/>
    <w:rsid w:val="00287059"/>
    <w:rsid w:val="002A5E9C"/>
    <w:rsid w:val="002A77EB"/>
    <w:rsid w:val="002B20CA"/>
    <w:rsid w:val="002B378D"/>
    <w:rsid w:val="002C31BF"/>
    <w:rsid w:val="002C400D"/>
    <w:rsid w:val="002D03C5"/>
    <w:rsid w:val="002D08B1"/>
    <w:rsid w:val="002E0CD7"/>
    <w:rsid w:val="003119BE"/>
    <w:rsid w:val="00317167"/>
    <w:rsid w:val="00322681"/>
    <w:rsid w:val="003330E9"/>
    <w:rsid w:val="00341DCF"/>
    <w:rsid w:val="003466C9"/>
    <w:rsid w:val="00346E96"/>
    <w:rsid w:val="00357BC6"/>
    <w:rsid w:val="003732AC"/>
    <w:rsid w:val="00385A72"/>
    <w:rsid w:val="003956C6"/>
    <w:rsid w:val="003A63EE"/>
    <w:rsid w:val="003A7A56"/>
    <w:rsid w:val="003B39EC"/>
    <w:rsid w:val="003D06BE"/>
    <w:rsid w:val="00413C9A"/>
    <w:rsid w:val="0041746F"/>
    <w:rsid w:val="0043728F"/>
    <w:rsid w:val="00441430"/>
    <w:rsid w:val="00441A7A"/>
    <w:rsid w:val="00450F07"/>
    <w:rsid w:val="0045246B"/>
    <w:rsid w:val="00453CD3"/>
    <w:rsid w:val="00460660"/>
    <w:rsid w:val="004624A6"/>
    <w:rsid w:val="00483C85"/>
    <w:rsid w:val="00486107"/>
    <w:rsid w:val="00491827"/>
    <w:rsid w:val="00493B1B"/>
    <w:rsid w:val="004B348C"/>
    <w:rsid w:val="004B5817"/>
    <w:rsid w:val="004C3FD2"/>
    <w:rsid w:val="004C4399"/>
    <w:rsid w:val="004C7231"/>
    <w:rsid w:val="004C787C"/>
    <w:rsid w:val="004E143C"/>
    <w:rsid w:val="004E19DE"/>
    <w:rsid w:val="004E3A53"/>
    <w:rsid w:val="004F3F13"/>
    <w:rsid w:val="004F403A"/>
    <w:rsid w:val="004F4B9B"/>
    <w:rsid w:val="004F6F27"/>
    <w:rsid w:val="00505366"/>
    <w:rsid w:val="00511AB9"/>
    <w:rsid w:val="00523EA7"/>
    <w:rsid w:val="00553375"/>
    <w:rsid w:val="005736B7"/>
    <w:rsid w:val="00575E5A"/>
    <w:rsid w:val="00576F32"/>
    <w:rsid w:val="005935C5"/>
    <w:rsid w:val="00593AE5"/>
    <w:rsid w:val="00597D00"/>
    <w:rsid w:val="005B76DD"/>
    <w:rsid w:val="005D5624"/>
    <w:rsid w:val="005D7514"/>
    <w:rsid w:val="005D77DE"/>
    <w:rsid w:val="005E0B52"/>
    <w:rsid w:val="005E5797"/>
    <w:rsid w:val="005F1404"/>
    <w:rsid w:val="005F294E"/>
    <w:rsid w:val="005F2CA1"/>
    <w:rsid w:val="0061068E"/>
    <w:rsid w:val="00623216"/>
    <w:rsid w:val="00650D2B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07B84"/>
    <w:rsid w:val="00710723"/>
    <w:rsid w:val="00722C9A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450A"/>
    <w:rsid w:val="007846E1"/>
    <w:rsid w:val="00791AC7"/>
    <w:rsid w:val="007A0AB5"/>
    <w:rsid w:val="007A0C04"/>
    <w:rsid w:val="007B1D5C"/>
    <w:rsid w:val="007B4B2B"/>
    <w:rsid w:val="007B55A0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6189B"/>
    <w:rsid w:val="008659F3"/>
    <w:rsid w:val="00886D4B"/>
    <w:rsid w:val="00895406"/>
    <w:rsid w:val="008A111A"/>
    <w:rsid w:val="008A3568"/>
    <w:rsid w:val="008B1447"/>
    <w:rsid w:val="008B6595"/>
    <w:rsid w:val="008D03B9"/>
    <w:rsid w:val="008D4265"/>
    <w:rsid w:val="008D48F3"/>
    <w:rsid w:val="008D6B46"/>
    <w:rsid w:val="008D7FB4"/>
    <w:rsid w:val="008D7FB8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3791A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AF21E8"/>
    <w:rsid w:val="00B01FB9"/>
    <w:rsid w:val="00B03CF9"/>
    <w:rsid w:val="00B12172"/>
    <w:rsid w:val="00B15D0D"/>
    <w:rsid w:val="00B25AED"/>
    <w:rsid w:val="00B40A47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A1732"/>
    <w:rsid w:val="00DC41AD"/>
    <w:rsid w:val="00DC75F3"/>
    <w:rsid w:val="00DD46F3"/>
    <w:rsid w:val="00DD62C2"/>
    <w:rsid w:val="00DE56F2"/>
    <w:rsid w:val="00DF116D"/>
    <w:rsid w:val="00E17FE7"/>
    <w:rsid w:val="00E32C5F"/>
    <w:rsid w:val="00E7068E"/>
    <w:rsid w:val="00E967DA"/>
    <w:rsid w:val="00EA1DA7"/>
    <w:rsid w:val="00EB104F"/>
    <w:rsid w:val="00ED14BD"/>
    <w:rsid w:val="00F010DC"/>
    <w:rsid w:val="00F02E2E"/>
    <w:rsid w:val="00F0533E"/>
    <w:rsid w:val="00F0762B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paragraph" w:customStyle="1" w:styleId="acnormal">
    <w:name w:val="ac_normal"/>
    <w:basedOn w:val="Normln"/>
    <w:link w:val="acnormalChar"/>
    <w:uiPriority w:val="99"/>
    <w:qFormat/>
    <w:rsid w:val="00DA1732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DA1732"/>
    <w:rPr>
      <w:rFonts w:ascii="Calibri" w:eastAsia="Calibri" w:hAnsi="Calibri" w:cs="Times New Roman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PauerM@spravazeleznic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Kolman@spravazeleznic.cz" TargetMode="Externa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hlikova@spravazeleznic.cz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E74923-FC89-409F-B435-CD3700C0A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</Pages>
  <Words>2834</Words>
  <Characters>16727</Characters>
  <Application>Microsoft Office Word</Application>
  <DocSecurity>0</DocSecurity>
  <Lines>139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19522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Křehlíková Lucie, Bc.</cp:lastModifiedBy>
  <cp:revision>31</cp:revision>
  <cp:lastPrinted>2017-11-28T17:18:00Z</cp:lastPrinted>
  <dcterms:created xsi:type="dcterms:W3CDTF">2023-03-01T08:23:00Z</dcterms:created>
  <dcterms:modified xsi:type="dcterms:W3CDTF">2023-05-09T05:15:00Z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